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158" w:rsidRDefault="00953158" w:rsidP="00953158">
      <w:pPr>
        <w:widowControl w:val="0"/>
        <w:adjustRightInd w:val="0"/>
        <w:spacing w:line="360" w:lineRule="auto"/>
        <w:ind w:firstLine="0"/>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SENT. COST. 221/2015</w:t>
      </w:r>
    </w:p>
    <w:p w:rsidR="00953158" w:rsidRPr="00953158" w:rsidRDefault="00953158" w:rsidP="00953158">
      <w:pPr>
        <w:widowControl w:val="0"/>
        <w:adjustRightInd w:val="0"/>
        <w:spacing w:line="360" w:lineRule="auto"/>
        <w:ind w:firstLine="0"/>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(Transessualismo)</w:t>
      </w:r>
    </w:p>
    <w:p w:rsidR="00953158" w:rsidRDefault="00953158" w:rsidP="00953158">
      <w:pPr>
        <w:widowControl w:val="0"/>
        <w:adjustRightInd w:val="0"/>
        <w:spacing w:line="360" w:lineRule="auto"/>
        <w:ind w:firstLine="0"/>
        <w:jc w:val="center"/>
        <w:rPr>
          <w:rFonts w:ascii="Times New Roman" w:eastAsia="Times New Roman" w:hAnsi="Times New Roman" w:cs="Times New Roman"/>
          <w:i/>
          <w:sz w:val="24"/>
          <w:szCs w:val="24"/>
          <w:lang w:eastAsia="it-IT"/>
        </w:rPr>
      </w:pPr>
    </w:p>
    <w:p w:rsidR="00953158" w:rsidRPr="00953158" w:rsidRDefault="00953158" w:rsidP="00953158">
      <w:pPr>
        <w:widowControl w:val="0"/>
        <w:adjustRightInd w:val="0"/>
        <w:spacing w:line="360" w:lineRule="auto"/>
        <w:ind w:firstLine="0"/>
        <w:jc w:val="center"/>
        <w:rPr>
          <w:rFonts w:ascii="Times New Roman" w:eastAsia="Times New Roman" w:hAnsi="Times New Roman" w:cs="Times New Roman"/>
          <w:i/>
          <w:sz w:val="24"/>
          <w:szCs w:val="24"/>
          <w:lang w:eastAsia="it-IT"/>
        </w:rPr>
      </w:pPr>
      <w:r w:rsidRPr="00953158">
        <w:rPr>
          <w:rFonts w:ascii="Times New Roman" w:eastAsia="Times New Roman" w:hAnsi="Times New Roman" w:cs="Times New Roman"/>
          <w:i/>
          <w:sz w:val="24"/>
          <w:szCs w:val="24"/>
          <w:lang w:eastAsia="it-IT"/>
        </w:rPr>
        <w:t>Considerato in diritto</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1.− Con ordinanza del 20 agosto 2014, il Tribunale ordinario di Trento ha sollevato – </w:t>
      </w:r>
      <w:proofErr w:type="gramStart"/>
      <w:r w:rsidRPr="00953158">
        <w:rPr>
          <w:rFonts w:ascii="Times New Roman" w:eastAsia="Times New Roman" w:hAnsi="Times New Roman" w:cs="Times New Roman"/>
          <w:sz w:val="24"/>
          <w:szCs w:val="24"/>
          <w:lang w:eastAsia="it-IT"/>
        </w:rPr>
        <w:t>in</w:t>
      </w:r>
      <w:proofErr w:type="gramEnd"/>
      <w:r w:rsidRPr="00953158">
        <w:rPr>
          <w:rFonts w:ascii="Times New Roman" w:eastAsia="Times New Roman" w:hAnsi="Times New Roman" w:cs="Times New Roman"/>
          <w:sz w:val="24"/>
          <w:szCs w:val="24"/>
          <w:lang w:eastAsia="it-IT"/>
        </w:rPr>
        <w:t xml:space="preserve"> riferimento agli artt. 2, 3, 32, 117, primo comma, della Costituzione, quest’ultimo in relazione all’art. 8 della Convenzione europea per la </w:t>
      </w:r>
      <w:proofErr w:type="gramStart"/>
      <w:r w:rsidRPr="00953158">
        <w:rPr>
          <w:rFonts w:ascii="Times New Roman" w:eastAsia="Times New Roman" w:hAnsi="Times New Roman" w:cs="Times New Roman"/>
          <w:sz w:val="24"/>
          <w:szCs w:val="24"/>
          <w:lang w:eastAsia="it-IT"/>
        </w:rPr>
        <w:t>salvaguardia</w:t>
      </w:r>
      <w:proofErr w:type="gramEnd"/>
      <w:r w:rsidRPr="00953158">
        <w:rPr>
          <w:rFonts w:ascii="Times New Roman" w:eastAsia="Times New Roman" w:hAnsi="Times New Roman" w:cs="Times New Roman"/>
          <w:sz w:val="24"/>
          <w:szCs w:val="24"/>
          <w:lang w:eastAsia="it-IT"/>
        </w:rPr>
        <w:t xml:space="preserve"> dei diritti dell’uomo e delle libertà fondamentali (d’ora in avanti, «CEDU»), firmata a Roma il 4 novembre 1950, ratificata e resa esecutiva con la legge 4 agosto 1955, n. 848 − questione di legittimità costituzionale dell’art. 1, comma </w:t>
      </w:r>
      <w:proofErr w:type="gramStart"/>
      <w:r w:rsidRPr="00953158">
        <w:rPr>
          <w:rFonts w:ascii="Times New Roman" w:eastAsia="Times New Roman" w:hAnsi="Times New Roman" w:cs="Times New Roman"/>
          <w:sz w:val="24"/>
          <w:szCs w:val="24"/>
          <w:lang w:eastAsia="it-IT"/>
        </w:rPr>
        <w:t>1</w:t>
      </w:r>
      <w:proofErr w:type="gramEnd"/>
      <w:r w:rsidRPr="00953158">
        <w:rPr>
          <w:rFonts w:ascii="Times New Roman" w:eastAsia="Times New Roman" w:hAnsi="Times New Roman" w:cs="Times New Roman"/>
          <w:sz w:val="24"/>
          <w:szCs w:val="24"/>
          <w:lang w:eastAsia="it-IT"/>
        </w:rPr>
        <w:t>, della legge 14 aprile 1982, n. 164 (Norme in materia di rettificazione di attribuzione di sesso).</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Tale disposizione prevede che «La rettificazione si fa in forza di sentenza del tribunale passata in giudicato che attribuisca </w:t>
      </w:r>
      <w:proofErr w:type="gramStart"/>
      <w:r w:rsidRPr="00953158">
        <w:rPr>
          <w:rFonts w:ascii="Times New Roman" w:eastAsia="Times New Roman" w:hAnsi="Times New Roman" w:cs="Times New Roman"/>
          <w:sz w:val="24"/>
          <w:szCs w:val="24"/>
          <w:lang w:eastAsia="it-IT"/>
        </w:rPr>
        <w:t>ad</w:t>
      </w:r>
      <w:proofErr w:type="gramEnd"/>
      <w:r w:rsidRPr="00953158">
        <w:rPr>
          <w:rFonts w:ascii="Times New Roman" w:eastAsia="Times New Roman" w:hAnsi="Times New Roman" w:cs="Times New Roman"/>
          <w:sz w:val="24"/>
          <w:szCs w:val="24"/>
          <w:lang w:eastAsia="it-IT"/>
        </w:rPr>
        <w:t xml:space="preserve"> una persona sesso diverso da quello enunciato nell’atto di nascita a seguito di intervenute modificazioni dei suoi caratteri sessuali».</w:t>
      </w:r>
    </w:p>
    <w:p w:rsidR="00953158" w:rsidRPr="00953158" w:rsidRDefault="00953158" w:rsidP="00953158">
      <w:pPr>
        <w:tabs>
          <w:tab w:val="left" w:pos="567"/>
        </w:tabs>
        <w:spacing w:line="360" w:lineRule="auto"/>
        <w:ind w:firstLine="567"/>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 xml:space="preserve">Ad avviso del giudice rimettente, la disposizione censurata si porrebbe in contrasto con gli artt. 2 e 117, primo comma, </w:t>
      </w:r>
      <w:proofErr w:type="spellStart"/>
      <w:r w:rsidRPr="00953158">
        <w:rPr>
          <w:rFonts w:ascii="Times New Roman" w:eastAsia="Times New Roman" w:hAnsi="Times New Roman" w:cs="Times New Roman"/>
          <w:sz w:val="24"/>
          <w:szCs w:val="24"/>
          <w:lang w:eastAsia="it-IT"/>
        </w:rPr>
        <w:t>Cost</w:t>
      </w:r>
      <w:proofErr w:type="spellEnd"/>
      <w:r w:rsidRPr="00953158">
        <w:rPr>
          <w:rFonts w:ascii="Times New Roman" w:eastAsia="Times New Roman" w:hAnsi="Times New Roman" w:cs="Times New Roman"/>
          <w:sz w:val="24"/>
          <w:szCs w:val="24"/>
          <w:lang w:eastAsia="it-IT"/>
        </w:rPr>
        <w:t xml:space="preserve">., </w:t>
      </w:r>
      <w:proofErr w:type="gramStart"/>
      <w:r w:rsidRPr="00953158">
        <w:rPr>
          <w:rFonts w:ascii="Times New Roman" w:eastAsia="Times New Roman" w:hAnsi="Times New Roman" w:cs="Times New Roman"/>
          <w:sz w:val="24"/>
          <w:szCs w:val="24"/>
          <w:lang w:eastAsia="it-IT"/>
        </w:rPr>
        <w:t>in relazione all’</w:t>
      </w:r>
      <w:proofErr w:type="gramEnd"/>
      <w:r w:rsidRPr="00953158">
        <w:rPr>
          <w:rFonts w:ascii="Times New Roman" w:eastAsia="Times New Roman" w:hAnsi="Times New Roman" w:cs="Times New Roman"/>
          <w:sz w:val="24"/>
          <w:szCs w:val="24"/>
          <w:lang w:eastAsia="it-IT"/>
        </w:rPr>
        <w:t xml:space="preserve">art. 8 della CEDU, poiché la previsione della necessità, ai fini della rettificazione anagrafica dell’attribuzione di sesso, dell’intervenuta modificazione dei caratteri sessuali primari attraverso trattamenti clinici </w:t>
      </w:r>
      <w:proofErr w:type="gramStart"/>
      <w:r w:rsidRPr="00953158">
        <w:rPr>
          <w:rFonts w:ascii="Times New Roman" w:eastAsia="Times New Roman" w:hAnsi="Times New Roman" w:cs="Times New Roman"/>
          <w:sz w:val="24"/>
          <w:szCs w:val="24"/>
          <w:lang w:eastAsia="it-IT"/>
        </w:rPr>
        <w:t>altamente</w:t>
      </w:r>
      <w:proofErr w:type="gramEnd"/>
      <w:r w:rsidRPr="00953158">
        <w:rPr>
          <w:rFonts w:ascii="Times New Roman" w:eastAsia="Times New Roman" w:hAnsi="Times New Roman" w:cs="Times New Roman"/>
          <w:sz w:val="24"/>
          <w:szCs w:val="24"/>
          <w:lang w:eastAsia="it-IT"/>
        </w:rPr>
        <w:t xml:space="preserve"> invasivi pregiudicherebbe gravemente l’esercizio del diritto fondamentale alla propria identità di genere.</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Viene, inoltre, denunciato il contrasto con gli artt. </w:t>
      </w:r>
      <w:proofErr w:type="gramStart"/>
      <w:r w:rsidRPr="00953158">
        <w:rPr>
          <w:rFonts w:ascii="Times New Roman" w:eastAsia="Times New Roman" w:hAnsi="Times New Roman" w:cs="Times New Roman"/>
          <w:sz w:val="24"/>
          <w:szCs w:val="24"/>
          <w:lang w:eastAsia="it-IT"/>
        </w:rPr>
        <w:t>3</w:t>
      </w:r>
      <w:proofErr w:type="gramEnd"/>
      <w:r w:rsidRPr="00953158">
        <w:rPr>
          <w:rFonts w:ascii="Times New Roman" w:eastAsia="Times New Roman" w:hAnsi="Times New Roman" w:cs="Times New Roman"/>
          <w:sz w:val="24"/>
          <w:szCs w:val="24"/>
          <w:lang w:eastAsia="it-IT"/>
        </w:rPr>
        <w:t xml:space="preserve"> e 32 </w:t>
      </w:r>
      <w:proofErr w:type="spellStart"/>
      <w:r w:rsidRPr="00953158">
        <w:rPr>
          <w:rFonts w:ascii="Times New Roman" w:eastAsia="Times New Roman" w:hAnsi="Times New Roman" w:cs="Times New Roman"/>
          <w:sz w:val="24"/>
          <w:szCs w:val="24"/>
          <w:lang w:eastAsia="it-IT"/>
        </w:rPr>
        <w:t>Cost</w:t>
      </w:r>
      <w:proofErr w:type="spellEnd"/>
      <w:r w:rsidRPr="00953158">
        <w:rPr>
          <w:rFonts w:ascii="Times New Roman" w:eastAsia="Times New Roman" w:hAnsi="Times New Roman" w:cs="Times New Roman"/>
          <w:sz w:val="24"/>
          <w:szCs w:val="24"/>
          <w:lang w:eastAsia="it-IT"/>
        </w:rPr>
        <w:t>., per l’irragionevolezza insita nella subordinazione dell’esercizio di un diritto fondamentale, quale il diritto all’identità di genere, al requisito della sottoposizione della persona a trattamenti sanitari (chirurgici o ormonali), estremamente invasivi e pericolosi per la salute.</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r>
      <w:r>
        <w:rPr>
          <w:rFonts w:ascii="Times New Roman" w:eastAsia="Times New Roman" w:hAnsi="Times New Roman" w:cs="Times New Roman"/>
          <w:sz w:val="24"/>
          <w:szCs w:val="24"/>
          <w:lang w:eastAsia="it-IT"/>
        </w:rPr>
        <w:t>….</w:t>
      </w:r>
      <w:bookmarkStart w:id="0" w:name="_GoBack"/>
      <w:bookmarkEnd w:id="0"/>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3.2.− Con riferimento alla necessità dell’intervento chirurgico, il giudice </w:t>
      </w:r>
      <w:r w:rsidRPr="00953158">
        <w:rPr>
          <w:rFonts w:ascii="Times New Roman" w:eastAsia="Times New Roman" w:hAnsi="Times New Roman" w:cs="Times New Roman"/>
          <w:i/>
          <w:sz w:val="24"/>
          <w:szCs w:val="24"/>
          <w:lang w:eastAsia="it-IT"/>
        </w:rPr>
        <w:t>a quo</w:t>
      </w:r>
      <w:r w:rsidRPr="00953158">
        <w:rPr>
          <w:rFonts w:ascii="Times New Roman" w:eastAsia="Times New Roman" w:hAnsi="Times New Roman" w:cs="Times New Roman"/>
          <w:sz w:val="24"/>
          <w:szCs w:val="24"/>
          <w:lang w:eastAsia="it-IT"/>
        </w:rPr>
        <w:t xml:space="preserve"> esclude la possibilità di interpretare la disposizione in esame nel senso di ritenere ammissibile la rettificazione dell’attribuzione di sesso, anche in assenza della modificazione dei caratteri sessuali primari.</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In particolare, il Tribunale rileva che l’art. 31, comma </w:t>
      </w:r>
      <w:proofErr w:type="gramStart"/>
      <w:r w:rsidRPr="00953158">
        <w:rPr>
          <w:rFonts w:ascii="Times New Roman" w:eastAsia="Times New Roman" w:hAnsi="Times New Roman" w:cs="Times New Roman"/>
          <w:sz w:val="24"/>
          <w:szCs w:val="24"/>
          <w:lang w:eastAsia="it-IT"/>
        </w:rPr>
        <w:t>4</w:t>
      </w:r>
      <w:proofErr w:type="gramEnd"/>
      <w:r w:rsidRPr="00953158">
        <w:rPr>
          <w:rFonts w:ascii="Times New Roman" w:eastAsia="Times New Roman" w:hAnsi="Times New Roman" w:cs="Times New Roman"/>
          <w:sz w:val="24"/>
          <w:szCs w:val="24"/>
          <w:lang w:eastAsia="it-IT"/>
        </w:rPr>
        <w:t>, del decreto legislativo 1° settembre 2011, n. 150 (Disposizioni complementari al codice di procedura civile in materia di riduzione e semplificazione dei procedimenti civili di cognizione, ai sensi dell’articolo 54 della legge 18 giugno 2009, n. 69), prevedendo che «Quando risulta necessario un adeguamento dei caratteri sessuali da realizzare mediante trattamento medico-chirurgico, il tribunale lo autorizza con sentenza passata in giudicato», sembrerebbe consentire che il trattamento medico-chirurgico sia solo eventuale (come lascerebbe intendere l’avverbio «quando»).</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lastRenderedPageBreak/>
        <w:tab/>
        <w:t xml:space="preserve">Il rimettente ritiene, tuttavia, che la previsione di </w:t>
      </w:r>
      <w:proofErr w:type="gramStart"/>
      <w:r w:rsidRPr="00953158">
        <w:rPr>
          <w:rFonts w:ascii="Times New Roman" w:eastAsia="Times New Roman" w:hAnsi="Times New Roman" w:cs="Times New Roman"/>
          <w:sz w:val="24"/>
          <w:szCs w:val="24"/>
          <w:lang w:eastAsia="it-IT"/>
        </w:rPr>
        <w:t>tale</w:t>
      </w:r>
      <w:proofErr w:type="gramEnd"/>
      <w:r w:rsidRPr="00953158">
        <w:rPr>
          <w:rFonts w:ascii="Times New Roman" w:eastAsia="Times New Roman" w:hAnsi="Times New Roman" w:cs="Times New Roman"/>
          <w:sz w:val="24"/>
          <w:szCs w:val="24"/>
          <w:lang w:eastAsia="it-IT"/>
        </w:rPr>
        <w:t xml:space="preserve"> eventualità non significhi affatto che la rettificazione di attribuzione di sesso possa essere ottenuta a prescindere dall’adeguamento dei caratteri sessuali primari, bensì soltanto che possono esservi casi concreti nei quali i caratteri sessuali primari siano già modificati (ad esempio, per un intervento già praticato all’estero, ovvero per ragioni congenite).</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A sostegno di questa interpretazione, il giudice </w:t>
      </w:r>
      <w:r w:rsidRPr="00953158">
        <w:rPr>
          <w:rFonts w:ascii="Times New Roman" w:eastAsia="Times New Roman" w:hAnsi="Times New Roman" w:cs="Times New Roman"/>
          <w:i/>
          <w:sz w:val="24"/>
          <w:szCs w:val="24"/>
          <w:lang w:eastAsia="it-IT"/>
        </w:rPr>
        <w:t xml:space="preserve">a quo </w:t>
      </w:r>
      <w:r w:rsidRPr="00953158">
        <w:rPr>
          <w:rFonts w:ascii="Times New Roman" w:eastAsia="Times New Roman" w:hAnsi="Times New Roman" w:cs="Times New Roman"/>
          <w:sz w:val="24"/>
          <w:szCs w:val="24"/>
          <w:lang w:eastAsia="it-IT"/>
        </w:rPr>
        <w:t xml:space="preserve">osserva che, altrimenti, non si comprenderebbe l’espressione «a seguito </w:t>
      </w:r>
      <w:proofErr w:type="gramStart"/>
      <w:r w:rsidRPr="00953158">
        <w:rPr>
          <w:rFonts w:ascii="Times New Roman" w:eastAsia="Times New Roman" w:hAnsi="Times New Roman" w:cs="Times New Roman"/>
          <w:sz w:val="24"/>
          <w:szCs w:val="24"/>
          <w:lang w:eastAsia="it-IT"/>
        </w:rPr>
        <w:t xml:space="preserve">di </w:t>
      </w:r>
      <w:proofErr w:type="gramEnd"/>
      <w:r w:rsidRPr="00953158">
        <w:rPr>
          <w:rFonts w:ascii="Times New Roman" w:eastAsia="Times New Roman" w:hAnsi="Times New Roman" w:cs="Times New Roman"/>
          <w:sz w:val="24"/>
          <w:szCs w:val="24"/>
          <w:lang w:eastAsia="it-IT"/>
        </w:rPr>
        <w:t xml:space="preserve">intervenute modificazioni dei suoi caratteri sessuali», di cui all’art. 1, comma </w:t>
      </w:r>
      <w:proofErr w:type="gramStart"/>
      <w:r w:rsidRPr="00953158">
        <w:rPr>
          <w:rFonts w:ascii="Times New Roman" w:eastAsia="Times New Roman" w:hAnsi="Times New Roman" w:cs="Times New Roman"/>
          <w:sz w:val="24"/>
          <w:szCs w:val="24"/>
          <w:lang w:eastAsia="it-IT"/>
        </w:rPr>
        <w:t>1</w:t>
      </w:r>
      <w:proofErr w:type="gramEnd"/>
      <w:r w:rsidRPr="00953158">
        <w:rPr>
          <w:rFonts w:ascii="Times New Roman" w:eastAsia="Times New Roman" w:hAnsi="Times New Roman" w:cs="Times New Roman"/>
          <w:sz w:val="24"/>
          <w:szCs w:val="24"/>
          <w:lang w:eastAsia="it-IT"/>
        </w:rPr>
        <w:t xml:space="preserve">, della legge n. 164 del 1982. Il Tribunale ritiene che «Se il legislatore avesse inteso consentire alla persona la rettificazione di attribuzione di sesso a prescindere dalla modificazione </w:t>
      </w:r>
      <w:proofErr w:type="gramStart"/>
      <w:r w:rsidRPr="00953158">
        <w:rPr>
          <w:rFonts w:ascii="Times New Roman" w:eastAsia="Times New Roman" w:hAnsi="Times New Roman" w:cs="Times New Roman"/>
          <w:sz w:val="24"/>
          <w:szCs w:val="24"/>
          <w:lang w:eastAsia="it-IT"/>
        </w:rPr>
        <w:t>dei</w:t>
      </w:r>
      <w:proofErr w:type="gramEnd"/>
      <w:r w:rsidRPr="00953158">
        <w:rPr>
          <w:rFonts w:ascii="Times New Roman" w:eastAsia="Times New Roman" w:hAnsi="Times New Roman" w:cs="Times New Roman"/>
          <w:sz w:val="24"/>
          <w:szCs w:val="24"/>
          <w:lang w:eastAsia="it-IT"/>
        </w:rPr>
        <w:t xml:space="preserve"> suoi caratteri sessuali primari, non avrebbe menzionato tale modificazione nella parte finale della norma in esame».</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3.3.− La compiuta valutazione di tali argomenti,</w:t>
      </w:r>
      <w:r w:rsidRPr="00953158">
        <w:rPr>
          <w:rFonts w:ascii="Times New Roman" w:eastAsia="Times New Roman" w:hAnsi="Times New Roman" w:cs="Times New Roman"/>
          <w:i/>
          <w:sz w:val="24"/>
          <w:szCs w:val="24"/>
          <w:lang w:eastAsia="it-IT"/>
        </w:rPr>
        <w:t xml:space="preserve"> </w:t>
      </w:r>
      <w:r w:rsidRPr="00953158">
        <w:rPr>
          <w:rFonts w:ascii="Times New Roman" w:eastAsia="Times New Roman" w:hAnsi="Times New Roman" w:cs="Times New Roman"/>
          <w:sz w:val="24"/>
          <w:szCs w:val="24"/>
          <w:lang w:eastAsia="it-IT"/>
        </w:rPr>
        <w:t xml:space="preserve">ancorché inidonea </w:t>
      </w:r>
      <w:proofErr w:type="gramStart"/>
      <w:r w:rsidRPr="00953158">
        <w:rPr>
          <w:rFonts w:ascii="Times New Roman" w:eastAsia="Times New Roman" w:hAnsi="Times New Roman" w:cs="Times New Roman"/>
          <w:sz w:val="24"/>
          <w:szCs w:val="24"/>
          <w:lang w:eastAsia="it-IT"/>
        </w:rPr>
        <w:t>ad</w:t>
      </w:r>
      <w:proofErr w:type="gramEnd"/>
      <w:r w:rsidRPr="00953158">
        <w:rPr>
          <w:rFonts w:ascii="Times New Roman" w:eastAsia="Times New Roman" w:hAnsi="Times New Roman" w:cs="Times New Roman"/>
          <w:sz w:val="24"/>
          <w:szCs w:val="24"/>
          <w:lang w:eastAsia="it-IT"/>
        </w:rPr>
        <w:t xml:space="preserve"> escludere possibili soluzioni difformi, appare indicativa del tentativo, in concreto effettuato dal giudice </w:t>
      </w:r>
      <w:r w:rsidRPr="00953158">
        <w:rPr>
          <w:rFonts w:ascii="Times New Roman" w:eastAsia="Times New Roman" w:hAnsi="Times New Roman" w:cs="Times New Roman"/>
          <w:i/>
          <w:sz w:val="24"/>
          <w:szCs w:val="24"/>
          <w:lang w:eastAsia="it-IT"/>
        </w:rPr>
        <w:t xml:space="preserve">a quo, </w:t>
      </w:r>
      <w:r w:rsidRPr="00953158">
        <w:rPr>
          <w:rFonts w:ascii="Times New Roman" w:eastAsia="Times New Roman" w:hAnsi="Times New Roman" w:cs="Times New Roman"/>
          <w:sz w:val="24"/>
          <w:szCs w:val="24"/>
          <w:lang w:eastAsia="it-IT"/>
        </w:rPr>
        <w:t xml:space="preserve">di utilizzare gli strumenti interpretativi a sua disposizione per verificare la possibilità di una lettura alternativa della disposizione censurata, eventualmente conforme a Costituzione. Tale possibilità </w:t>
      </w:r>
      <w:proofErr w:type="gramStart"/>
      <w:r w:rsidRPr="00953158">
        <w:rPr>
          <w:rFonts w:ascii="Times New Roman" w:eastAsia="Times New Roman" w:hAnsi="Times New Roman" w:cs="Times New Roman"/>
          <w:sz w:val="24"/>
          <w:szCs w:val="24"/>
          <w:lang w:eastAsia="it-IT"/>
        </w:rPr>
        <w:t>viene</w:t>
      </w:r>
      <w:proofErr w:type="gramEnd"/>
      <w:r w:rsidRPr="00953158">
        <w:rPr>
          <w:rFonts w:ascii="Times New Roman" w:eastAsia="Times New Roman" w:hAnsi="Times New Roman" w:cs="Times New Roman"/>
          <w:sz w:val="24"/>
          <w:szCs w:val="24"/>
          <w:lang w:eastAsia="it-IT"/>
        </w:rPr>
        <w:t xml:space="preserve"> consapevolmente esclusa dal rimettente, il quale ravvisa nel tenore letterale della disposizione un impedimento ad un’interpretazione costituzionalmente compatibile.</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La possibilità di un’</w:t>
      </w:r>
      <w:proofErr w:type="gramStart"/>
      <w:r w:rsidRPr="00953158">
        <w:rPr>
          <w:rFonts w:ascii="Times New Roman" w:eastAsia="Times New Roman" w:hAnsi="Times New Roman" w:cs="Times New Roman"/>
          <w:sz w:val="24"/>
          <w:szCs w:val="24"/>
          <w:lang w:eastAsia="it-IT"/>
        </w:rPr>
        <w:t>ulteriore</w:t>
      </w:r>
      <w:proofErr w:type="gramEnd"/>
      <w:r w:rsidRPr="00953158">
        <w:rPr>
          <w:rFonts w:ascii="Times New Roman" w:eastAsia="Times New Roman" w:hAnsi="Times New Roman" w:cs="Times New Roman"/>
          <w:sz w:val="24"/>
          <w:szCs w:val="24"/>
          <w:lang w:eastAsia="it-IT"/>
        </w:rPr>
        <w:t xml:space="preserve"> interpretazione alternativa, che il giudice </w:t>
      </w:r>
      <w:r w:rsidRPr="00953158">
        <w:rPr>
          <w:rFonts w:ascii="Times New Roman" w:eastAsia="Times New Roman" w:hAnsi="Times New Roman" w:cs="Times New Roman"/>
          <w:i/>
          <w:sz w:val="24"/>
          <w:szCs w:val="24"/>
          <w:lang w:eastAsia="it-IT"/>
        </w:rPr>
        <w:t>a quo</w:t>
      </w:r>
      <w:r w:rsidRPr="00953158">
        <w:rPr>
          <w:rFonts w:ascii="Times New Roman" w:eastAsia="Times New Roman" w:hAnsi="Times New Roman" w:cs="Times New Roman"/>
          <w:sz w:val="24"/>
          <w:szCs w:val="24"/>
          <w:lang w:eastAsia="it-IT"/>
        </w:rPr>
        <w:t xml:space="preserve"> non ha ritenuto di fare propria, non riveste alcun significativo rilievo ai fini del rispetto delle regole del processo costituzionale, in quanto la verifica dell’esistenza e della legittimità di tale ulteriore interpretazione è questione che attiene al merito della controversia, e non alla sua ammissibilità.</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4.− Nel merito, la questione di legittimità costituzionale dell’art. 1, comma </w:t>
      </w:r>
      <w:proofErr w:type="gramStart"/>
      <w:r w:rsidRPr="00953158">
        <w:rPr>
          <w:rFonts w:ascii="Times New Roman" w:eastAsia="Times New Roman" w:hAnsi="Times New Roman" w:cs="Times New Roman"/>
          <w:sz w:val="24"/>
          <w:szCs w:val="24"/>
          <w:lang w:eastAsia="it-IT"/>
        </w:rPr>
        <w:t>1</w:t>
      </w:r>
      <w:proofErr w:type="gramEnd"/>
      <w:r w:rsidRPr="00953158">
        <w:rPr>
          <w:rFonts w:ascii="Times New Roman" w:eastAsia="Times New Roman" w:hAnsi="Times New Roman" w:cs="Times New Roman"/>
          <w:sz w:val="24"/>
          <w:szCs w:val="24"/>
          <w:lang w:eastAsia="it-IT"/>
        </w:rPr>
        <w:t>, della legge n. 164 del 1982 non è fondata nei sensi di cui in motivazione.</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4.1.− La disposizione in esame costituisce l’approdo di un’evoluzione culturale </w:t>
      </w:r>
      <w:proofErr w:type="gramStart"/>
      <w:r w:rsidRPr="00953158">
        <w:rPr>
          <w:rFonts w:ascii="Times New Roman" w:eastAsia="Times New Roman" w:hAnsi="Times New Roman" w:cs="Times New Roman"/>
          <w:sz w:val="24"/>
          <w:szCs w:val="24"/>
          <w:lang w:eastAsia="it-IT"/>
        </w:rPr>
        <w:t>ed</w:t>
      </w:r>
      <w:proofErr w:type="gramEnd"/>
      <w:r w:rsidRPr="00953158">
        <w:rPr>
          <w:rFonts w:ascii="Times New Roman" w:eastAsia="Times New Roman" w:hAnsi="Times New Roman" w:cs="Times New Roman"/>
          <w:sz w:val="24"/>
          <w:szCs w:val="24"/>
          <w:lang w:eastAsia="it-IT"/>
        </w:rPr>
        <w:t xml:space="preserve"> ordinamentale volta al riconoscimento del diritto all’identità di genere quale elemento costitutivo del diritto all’identità personale, rientrante a pieno titolo nell’ambito dei diritti fondamentali della persona (art. 2 </w:t>
      </w:r>
      <w:proofErr w:type="spellStart"/>
      <w:r w:rsidRPr="00953158">
        <w:rPr>
          <w:rFonts w:ascii="Times New Roman" w:eastAsia="Times New Roman" w:hAnsi="Times New Roman" w:cs="Times New Roman"/>
          <w:sz w:val="24"/>
          <w:szCs w:val="24"/>
          <w:lang w:eastAsia="it-IT"/>
        </w:rPr>
        <w:t>Cost</w:t>
      </w:r>
      <w:proofErr w:type="spellEnd"/>
      <w:r w:rsidRPr="00953158">
        <w:rPr>
          <w:rFonts w:ascii="Times New Roman" w:eastAsia="Times New Roman" w:hAnsi="Times New Roman" w:cs="Times New Roman"/>
          <w:sz w:val="24"/>
          <w:szCs w:val="24"/>
          <w:lang w:eastAsia="it-IT"/>
        </w:rPr>
        <w:t>. e art. 8 della CEDU</w:t>
      </w:r>
      <w:proofErr w:type="gramStart"/>
      <w:r w:rsidRPr="00953158">
        <w:rPr>
          <w:rFonts w:ascii="Times New Roman" w:eastAsia="Times New Roman" w:hAnsi="Times New Roman" w:cs="Times New Roman"/>
          <w:sz w:val="24"/>
          <w:szCs w:val="24"/>
          <w:lang w:eastAsia="it-IT"/>
        </w:rPr>
        <w:t>).</w:t>
      </w:r>
      <w:proofErr w:type="gramEnd"/>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Come rilevato, infatti, da questa Corte nella </w:t>
      </w:r>
      <w:hyperlink r:id="rId5" w:history="1">
        <w:r w:rsidRPr="00953158">
          <w:rPr>
            <w:rFonts w:ascii="Times New Roman" w:eastAsia="Times New Roman" w:hAnsi="Times New Roman" w:cs="Times New Roman"/>
            <w:color w:val="0000FF"/>
            <w:sz w:val="24"/>
            <w:szCs w:val="24"/>
            <w:u w:val="single"/>
            <w:lang w:eastAsia="it-IT"/>
          </w:rPr>
          <w:t>sentenza n. 161 del 1985</w:t>
        </w:r>
      </w:hyperlink>
      <w:r w:rsidRPr="00953158">
        <w:rPr>
          <w:rFonts w:ascii="Times New Roman" w:eastAsia="Times New Roman" w:hAnsi="Times New Roman" w:cs="Times New Roman"/>
          <w:sz w:val="24"/>
          <w:szCs w:val="24"/>
          <w:lang w:eastAsia="it-IT"/>
        </w:rPr>
        <w:t xml:space="preserve">, la legge n. 164 del 1982 accoglie «un concetto di identità sessuale nuovo e diverso rispetto al passato, nel senso che ai fini di una tale identificazione viene conferito rilievo non più esclusivamente agli organi genitali esterni, quali accertati al momento della nascita ovvero “naturalmente” </w:t>
      </w:r>
      <w:proofErr w:type="spellStart"/>
      <w:r w:rsidRPr="00953158">
        <w:rPr>
          <w:rFonts w:ascii="Times New Roman" w:eastAsia="Times New Roman" w:hAnsi="Times New Roman" w:cs="Times New Roman"/>
          <w:sz w:val="24"/>
          <w:szCs w:val="24"/>
          <w:lang w:eastAsia="it-IT"/>
        </w:rPr>
        <w:t>evolutisi</w:t>
      </w:r>
      <w:proofErr w:type="spellEnd"/>
      <w:r w:rsidRPr="00953158">
        <w:rPr>
          <w:rFonts w:ascii="Times New Roman" w:eastAsia="Times New Roman" w:hAnsi="Times New Roman" w:cs="Times New Roman"/>
          <w:sz w:val="24"/>
          <w:szCs w:val="24"/>
          <w:lang w:eastAsia="it-IT"/>
        </w:rPr>
        <w:t xml:space="preserve">, sia pure con l’ausilio di appropriate terapie medico-chirurgiche, ma anche ad elementi di carattere psicologico e sociale. Presupposto della normativa impugnata è, dunque, la concezione del sesso come dato complesso della personalità determinato da un insieme di fattori, dei quali deve essere agevolato o ricercato </w:t>
      </w:r>
      <w:r w:rsidRPr="00953158">
        <w:rPr>
          <w:rFonts w:ascii="Times New Roman" w:eastAsia="Times New Roman" w:hAnsi="Times New Roman" w:cs="Times New Roman"/>
          <w:sz w:val="24"/>
          <w:szCs w:val="24"/>
          <w:lang w:eastAsia="it-IT"/>
        </w:rPr>
        <w:lastRenderedPageBreak/>
        <w:t xml:space="preserve">l’equilibrio, </w:t>
      </w:r>
      <w:proofErr w:type="gramStart"/>
      <w:r w:rsidRPr="00953158">
        <w:rPr>
          <w:rFonts w:ascii="Times New Roman" w:eastAsia="Times New Roman" w:hAnsi="Times New Roman" w:cs="Times New Roman"/>
          <w:sz w:val="24"/>
          <w:szCs w:val="24"/>
          <w:lang w:eastAsia="it-IT"/>
        </w:rPr>
        <w:t>privilegiando</w:t>
      </w:r>
      <w:proofErr w:type="gramEnd"/>
      <w:r w:rsidRPr="00953158">
        <w:rPr>
          <w:rFonts w:ascii="Times New Roman" w:eastAsia="Times New Roman" w:hAnsi="Times New Roman" w:cs="Times New Roman"/>
          <w:sz w:val="24"/>
          <w:szCs w:val="24"/>
          <w:lang w:eastAsia="it-IT"/>
        </w:rPr>
        <w:t xml:space="preserve"> ‒ poiché la differenza tra i due sessi non è qualitativa, ma quantitativa ‒ il o i fattori dominanti […]. La legge n. 164 del 1982 si colloca, dunque, nell’alveo di una civiltà giuridica in evoluzione, sempre più attenta ai valori, di libertà e dignità, della persona umana, che ricerca e tutela anche nelle situazioni minoritarie </w:t>
      </w:r>
      <w:proofErr w:type="gramStart"/>
      <w:r w:rsidRPr="00953158">
        <w:rPr>
          <w:rFonts w:ascii="Times New Roman" w:eastAsia="Times New Roman" w:hAnsi="Times New Roman" w:cs="Times New Roman"/>
          <w:sz w:val="24"/>
          <w:szCs w:val="24"/>
          <w:lang w:eastAsia="it-IT"/>
        </w:rPr>
        <w:t>ed</w:t>
      </w:r>
      <w:proofErr w:type="gramEnd"/>
      <w:r w:rsidRPr="00953158">
        <w:rPr>
          <w:rFonts w:ascii="Times New Roman" w:eastAsia="Times New Roman" w:hAnsi="Times New Roman" w:cs="Times New Roman"/>
          <w:sz w:val="24"/>
          <w:szCs w:val="24"/>
          <w:lang w:eastAsia="it-IT"/>
        </w:rPr>
        <w:t xml:space="preserve"> anomale».</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Tale portata generale e </w:t>
      </w:r>
      <w:proofErr w:type="gramStart"/>
      <w:r w:rsidRPr="00953158">
        <w:rPr>
          <w:rFonts w:ascii="Times New Roman" w:eastAsia="Times New Roman" w:hAnsi="Times New Roman" w:cs="Times New Roman"/>
          <w:sz w:val="24"/>
          <w:szCs w:val="24"/>
          <w:lang w:eastAsia="it-IT"/>
        </w:rPr>
        <w:t>fortemente</w:t>
      </w:r>
      <w:proofErr w:type="gramEnd"/>
      <w:r w:rsidRPr="00953158">
        <w:rPr>
          <w:rFonts w:ascii="Times New Roman" w:eastAsia="Times New Roman" w:hAnsi="Times New Roman" w:cs="Times New Roman"/>
          <w:sz w:val="24"/>
          <w:szCs w:val="24"/>
          <w:lang w:eastAsia="it-IT"/>
        </w:rPr>
        <w:t xml:space="preserve"> innovativa dell’intervento legislativo in esame emerge anche dalla formulazione letterale dell’art. 1, oggetto di censura, il quale stabilisce i presupposti per la rettificazione anagrafica del sesso, individuandoli nelle «intervenute modificazioni dei […] caratteri sessuali». Viene, quindi, lasciato all’interprete il compito di definire il perimetro di tali modificazioni e, per quanto qui rileva, delle </w:t>
      </w:r>
      <w:proofErr w:type="gramStart"/>
      <w:r w:rsidRPr="00953158">
        <w:rPr>
          <w:rFonts w:ascii="Times New Roman" w:eastAsia="Times New Roman" w:hAnsi="Times New Roman" w:cs="Times New Roman"/>
          <w:sz w:val="24"/>
          <w:szCs w:val="24"/>
          <w:lang w:eastAsia="it-IT"/>
        </w:rPr>
        <w:t>modalità</w:t>
      </w:r>
      <w:proofErr w:type="gramEnd"/>
      <w:r w:rsidRPr="00953158">
        <w:rPr>
          <w:rFonts w:ascii="Times New Roman" w:eastAsia="Times New Roman" w:hAnsi="Times New Roman" w:cs="Times New Roman"/>
          <w:sz w:val="24"/>
          <w:szCs w:val="24"/>
          <w:lang w:eastAsia="it-IT"/>
        </w:rPr>
        <w:t xml:space="preserve"> attraverso le quali realizzarle.</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Interpretata alla luce dei diritti della persona ‒ ai quali il legislatore italiano, con l’intervento legislativo in esame, ha voluto fornire riconoscimento e garanzia − la mancanza di un riferimento testuale alle </w:t>
      </w:r>
      <w:proofErr w:type="gramStart"/>
      <w:r w:rsidRPr="00953158">
        <w:rPr>
          <w:rFonts w:ascii="Times New Roman" w:eastAsia="Times New Roman" w:hAnsi="Times New Roman" w:cs="Times New Roman"/>
          <w:sz w:val="24"/>
          <w:szCs w:val="24"/>
          <w:lang w:eastAsia="it-IT"/>
        </w:rPr>
        <w:t>modalità</w:t>
      </w:r>
      <w:proofErr w:type="gramEnd"/>
      <w:r w:rsidRPr="00953158">
        <w:rPr>
          <w:rFonts w:ascii="Times New Roman" w:eastAsia="Times New Roman" w:hAnsi="Times New Roman" w:cs="Times New Roman"/>
          <w:sz w:val="24"/>
          <w:szCs w:val="24"/>
          <w:lang w:eastAsia="it-IT"/>
        </w:rPr>
        <w:t xml:space="preserve"> (chirurgiche, ormonali, ovvero conseguenti ad una situazione congenita), attraverso le quali si realizzi la modificazione, porta ad escludere la necessità, ai fini dell’accesso al percorso giudiziale di rettificazione anagrafica, del trattamento chirurgico, il quale costituisce solo una delle possibili tecniche per realizzare l’adeguamento dei caratteri sessuali.</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È questa la strada già indicata nella </w:t>
      </w:r>
      <w:hyperlink r:id="rId6" w:history="1">
        <w:r w:rsidRPr="00953158">
          <w:rPr>
            <w:rFonts w:ascii="Times New Roman" w:eastAsia="Times New Roman" w:hAnsi="Times New Roman" w:cs="Times New Roman"/>
            <w:color w:val="0000FF"/>
            <w:sz w:val="24"/>
            <w:szCs w:val="24"/>
            <w:u w:val="single"/>
            <w:lang w:eastAsia="it-IT"/>
          </w:rPr>
          <w:t>sentenza n. 161 del 1985</w:t>
        </w:r>
      </w:hyperlink>
      <w:r w:rsidRPr="00953158">
        <w:rPr>
          <w:rFonts w:ascii="Times New Roman" w:eastAsia="Times New Roman" w:hAnsi="Times New Roman" w:cs="Times New Roman"/>
          <w:sz w:val="24"/>
          <w:szCs w:val="24"/>
          <w:lang w:eastAsia="it-IT"/>
        </w:rPr>
        <w:t>, laddove si afferma che la disposizione in esame «riguarda tutte le ipotesi di rettificazione giudiziale dell’attribuzione di sesso, in quanto accertato diverso da quello enunciato nell’atto di nascita, a seguito di intervenute modificazioni dei caratteri sessuali dell’interessato, senza, peraltro, che il disposto in esame prenda in considerazione il modo in cui le modificazioni medesime si sono verificate, se naturalmente ovvero a seguito di intervento medico-chirurgico».</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L’esclusione del carattere necessario dell’intervento chirurgico ai fini della rettificazione anagrafica appare il corollario di un’impostazione che − in coerenza con supremi valori costituzionali − rimette al singolo la scelta delle </w:t>
      </w:r>
      <w:proofErr w:type="gramStart"/>
      <w:r w:rsidRPr="00953158">
        <w:rPr>
          <w:rFonts w:ascii="Times New Roman" w:eastAsia="Times New Roman" w:hAnsi="Times New Roman" w:cs="Times New Roman"/>
          <w:sz w:val="24"/>
          <w:szCs w:val="24"/>
          <w:lang w:eastAsia="it-IT"/>
        </w:rPr>
        <w:t>modalità</w:t>
      </w:r>
      <w:proofErr w:type="gramEnd"/>
      <w:r w:rsidRPr="00953158">
        <w:rPr>
          <w:rFonts w:ascii="Times New Roman" w:eastAsia="Times New Roman" w:hAnsi="Times New Roman" w:cs="Times New Roman"/>
          <w:sz w:val="24"/>
          <w:szCs w:val="24"/>
          <w:lang w:eastAsia="it-IT"/>
        </w:rPr>
        <w:t xml:space="preserve"> attraverso le quali realizzare, con l’assistenza del medico e di altri specialisti, il proprio percorso di transizione, il quale deve comunque riguardare gli aspetti psicologici, comportamentali e fisici che concorrono a comporre l’identità di genere. L’ampiezza del dato letterale dell’art. 1, comma </w:t>
      </w:r>
      <w:proofErr w:type="gramStart"/>
      <w:r w:rsidRPr="00953158">
        <w:rPr>
          <w:rFonts w:ascii="Times New Roman" w:eastAsia="Times New Roman" w:hAnsi="Times New Roman" w:cs="Times New Roman"/>
          <w:sz w:val="24"/>
          <w:szCs w:val="24"/>
          <w:lang w:eastAsia="it-IT"/>
        </w:rPr>
        <w:t>1</w:t>
      </w:r>
      <w:proofErr w:type="gramEnd"/>
      <w:r w:rsidRPr="00953158">
        <w:rPr>
          <w:rFonts w:ascii="Times New Roman" w:eastAsia="Times New Roman" w:hAnsi="Times New Roman" w:cs="Times New Roman"/>
          <w:sz w:val="24"/>
          <w:szCs w:val="24"/>
          <w:lang w:eastAsia="it-IT"/>
        </w:rPr>
        <w:t>, della legge n. 164 del 1982 e la mancanza di rigide griglie normative sulla tipologia dei trattamenti rispondono all’irriducibile varietà delle singole situazioni soggettive.</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Tale impostazione è stata fatta propria anche dalla recente giurisprudenza di legittimità. Nella sentenza del 20 luglio 2015, n. 15138, la </w:t>
      </w:r>
      <w:proofErr w:type="gramStart"/>
      <w:r w:rsidRPr="00953158">
        <w:rPr>
          <w:rFonts w:ascii="Times New Roman" w:eastAsia="Times New Roman" w:hAnsi="Times New Roman" w:cs="Times New Roman"/>
          <w:sz w:val="24"/>
          <w:szCs w:val="24"/>
          <w:lang w:eastAsia="it-IT"/>
        </w:rPr>
        <w:t>Corte di cassazione</w:t>
      </w:r>
      <w:proofErr w:type="gramEnd"/>
      <w:r w:rsidRPr="00953158">
        <w:rPr>
          <w:rFonts w:ascii="Times New Roman" w:eastAsia="Times New Roman" w:hAnsi="Times New Roman" w:cs="Times New Roman"/>
          <w:sz w:val="24"/>
          <w:szCs w:val="24"/>
          <w:lang w:eastAsia="it-IT"/>
        </w:rPr>
        <w:t xml:space="preserve">, sezione prima civile, ha affermato, infatti, che la scelta di sottoporsi alla modificazione chirurgica dei caratteri sessuali non può che essere il risultato di «un processo di autodeterminazione verso l’obiettivo del mutamento di sesso». Il ricorso alla chirurgia costituisce uno dei possibili percorsi volti all’adeguamento dell’immagine </w:t>
      </w:r>
      <w:r w:rsidRPr="00953158">
        <w:rPr>
          <w:rFonts w:ascii="Times New Roman" w:eastAsia="Times New Roman" w:hAnsi="Times New Roman" w:cs="Times New Roman"/>
          <w:sz w:val="24"/>
          <w:szCs w:val="24"/>
          <w:lang w:eastAsia="it-IT"/>
        </w:rPr>
        <w:lastRenderedPageBreak/>
        <w:t xml:space="preserve">esteriore alla propria identità personale, come percepita dal soggetto. D’altra parte, </w:t>
      </w:r>
      <w:proofErr w:type="gramStart"/>
      <w:r w:rsidRPr="00953158">
        <w:rPr>
          <w:rFonts w:ascii="Times New Roman" w:eastAsia="Times New Roman" w:hAnsi="Times New Roman" w:cs="Times New Roman"/>
          <w:sz w:val="24"/>
          <w:szCs w:val="24"/>
          <w:lang w:eastAsia="it-IT"/>
        </w:rPr>
        <w:t>sottolinea</w:t>
      </w:r>
      <w:proofErr w:type="gramEnd"/>
      <w:r w:rsidRPr="00953158">
        <w:rPr>
          <w:rFonts w:ascii="Times New Roman" w:eastAsia="Times New Roman" w:hAnsi="Times New Roman" w:cs="Times New Roman"/>
          <w:sz w:val="24"/>
          <w:szCs w:val="24"/>
          <w:lang w:eastAsia="it-IT"/>
        </w:rPr>
        <w:t xml:space="preserve"> la Corte di cassazione, «La complessità del percorso, in quanto sostenuto da una pluralità di presidi medici […] e psicologici mette ulteriormente in luce l’appartenenza del diritto in questione al nucleo costitutivo dello sviluppo della personalità individuale e sociale, in modo da consentire un adeguato bilanciamento con l’interesse pubblico alla certezza delle relazioni giuridiche».</w:t>
      </w:r>
    </w:p>
    <w:p w:rsidR="00953158" w:rsidRPr="00953158" w:rsidRDefault="00953158" w:rsidP="00953158">
      <w:pPr>
        <w:spacing w:line="360" w:lineRule="auto"/>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 xml:space="preserve">Rimane così ineludibile un rigoroso accertamento giudiziale delle </w:t>
      </w:r>
      <w:proofErr w:type="gramStart"/>
      <w:r w:rsidRPr="00953158">
        <w:rPr>
          <w:rFonts w:ascii="Times New Roman" w:eastAsia="Times New Roman" w:hAnsi="Times New Roman" w:cs="Times New Roman"/>
          <w:sz w:val="24"/>
          <w:szCs w:val="24"/>
          <w:lang w:eastAsia="it-IT"/>
        </w:rPr>
        <w:t>modalità</w:t>
      </w:r>
      <w:proofErr w:type="gramEnd"/>
      <w:r w:rsidRPr="00953158">
        <w:rPr>
          <w:rFonts w:ascii="Times New Roman" w:eastAsia="Times New Roman" w:hAnsi="Times New Roman" w:cs="Times New Roman"/>
          <w:sz w:val="24"/>
          <w:szCs w:val="24"/>
          <w:lang w:eastAsia="it-IT"/>
        </w:rPr>
        <w:t xml:space="preserve"> attraverso le quali il cambiamento è avvenuto e del suo carattere definitivo. Rispetto </w:t>
      </w:r>
      <w:proofErr w:type="gramStart"/>
      <w:r w:rsidRPr="00953158">
        <w:rPr>
          <w:rFonts w:ascii="Times New Roman" w:eastAsia="Times New Roman" w:hAnsi="Times New Roman" w:cs="Times New Roman"/>
          <w:sz w:val="24"/>
          <w:szCs w:val="24"/>
          <w:lang w:eastAsia="it-IT"/>
        </w:rPr>
        <w:t>ad</w:t>
      </w:r>
      <w:proofErr w:type="gramEnd"/>
      <w:r w:rsidRPr="00953158">
        <w:rPr>
          <w:rFonts w:ascii="Times New Roman" w:eastAsia="Times New Roman" w:hAnsi="Times New Roman" w:cs="Times New Roman"/>
          <w:sz w:val="24"/>
          <w:szCs w:val="24"/>
          <w:lang w:eastAsia="it-IT"/>
        </w:rPr>
        <w:t xml:space="preserve"> esso il trattamento chirurgico costituisce uno strumento eventuale, di ausilio al fine di garantire, attraverso una tendenziale corrispondenza dei tratti somatici con quelli del sesso di appartenenza, il conseguimento di un pieno benessere psichico e fisico della persona.</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In questa prospettiva va letto anche il riferimento, contenuto nell’art. 31 del d.lgs. n. 150 del 2011, </w:t>
      </w:r>
      <w:proofErr w:type="gramStart"/>
      <w:r w:rsidRPr="00953158">
        <w:rPr>
          <w:rFonts w:ascii="Times New Roman" w:eastAsia="Times New Roman" w:hAnsi="Times New Roman" w:cs="Times New Roman"/>
          <w:sz w:val="24"/>
          <w:szCs w:val="24"/>
          <w:lang w:eastAsia="it-IT"/>
        </w:rPr>
        <w:t xml:space="preserve">alla </w:t>
      </w:r>
      <w:proofErr w:type="gramEnd"/>
      <w:r w:rsidRPr="00953158">
        <w:rPr>
          <w:rFonts w:ascii="Times New Roman" w:eastAsia="Times New Roman" w:hAnsi="Times New Roman" w:cs="Times New Roman"/>
          <w:sz w:val="24"/>
          <w:szCs w:val="24"/>
          <w:lang w:eastAsia="it-IT"/>
        </w:rPr>
        <w:t xml:space="preserve">eventualità («Quando risulta necessario») del trattamento medico-chirurgico per l’adeguamento dei caratteri sessuali. In tale disposizione, infatti, lo stesso legislatore </w:t>
      </w:r>
      <w:proofErr w:type="gramStart"/>
      <w:r w:rsidRPr="00953158">
        <w:rPr>
          <w:rFonts w:ascii="Times New Roman" w:eastAsia="Times New Roman" w:hAnsi="Times New Roman" w:cs="Times New Roman"/>
          <w:sz w:val="24"/>
          <w:szCs w:val="24"/>
          <w:lang w:eastAsia="it-IT"/>
        </w:rPr>
        <w:t>ribadisce</w:t>
      </w:r>
      <w:proofErr w:type="gramEnd"/>
      <w:r w:rsidRPr="00953158">
        <w:rPr>
          <w:rFonts w:ascii="Times New Roman" w:eastAsia="Times New Roman" w:hAnsi="Times New Roman" w:cs="Times New Roman"/>
          <w:sz w:val="24"/>
          <w:szCs w:val="24"/>
          <w:lang w:eastAsia="it-IT"/>
        </w:rPr>
        <w:t>, a distanza di quasi trenta anni dall’introduzione della legge n. 164 del 1982, di volere lasciare all’apprezzamento del giudice, nell’ambito del procedimento di autorizzazione all’intervento chirurgico, l’effettiva necessità dello stesso, in relazione alle specificità del caso concreto.</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Il ricorso alla modificazione chirurgica dei caratteri sessuali risulta, quindi, autorizzabile in funzione di garanzia del diritto alla salute, ossia laddove lo stesso sia volto a consentire alla persona di raggiungere uno stabile equilibrio psicofisico, in particolare in quei casi nei quali la divergenza tra il sesso anatomico e la psicosessualità sia tale da determinare un atteggiamento conflittuale e di rifiuto della propria morfologia anatomica.</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La prevalenza della tutela della salute </w:t>
      </w:r>
      <w:proofErr w:type="gramStart"/>
      <w:r w:rsidRPr="00953158">
        <w:rPr>
          <w:rFonts w:ascii="Times New Roman" w:eastAsia="Times New Roman" w:hAnsi="Times New Roman" w:cs="Times New Roman"/>
          <w:sz w:val="24"/>
          <w:szCs w:val="24"/>
          <w:lang w:eastAsia="it-IT"/>
        </w:rPr>
        <w:t>dell’</w:t>
      </w:r>
      <w:proofErr w:type="gramEnd"/>
      <w:r w:rsidRPr="00953158">
        <w:rPr>
          <w:rFonts w:ascii="Times New Roman" w:eastAsia="Times New Roman" w:hAnsi="Times New Roman" w:cs="Times New Roman"/>
          <w:sz w:val="24"/>
          <w:szCs w:val="24"/>
          <w:lang w:eastAsia="it-IT"/>
        </w:rPr>
        <w:t>individuo sulla corrispondenza fra sesso anatomico e sesso anagrafico, porta a ritenere il trattamento chirurgico non quale prerequisito per accedere al procedimento di rettificazione – come prospettato dal rimettente −, ma come possibile mezzo, funzionale al conseguimento di un pieno benessere psicofisico.</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t xml:space="preserve">Il percorso ermeneutico sopra evidenziato riconosce, quindi, alla disposizione in esame il ruolo di garanzia del diritto all’identità </w:t>
      </w:r>
      <w:proofErr w:type="gramStart"/>
      <w:r w:rsidRPr="00953158">
        <w:rPr>
          <w:rFonts w:ascii="Times New Roman" w:eastAsia="Times New Roman" w:hAnsi="Times New Roman" w:cs="Times New Roman"/>
          <w:sz w:val="24"/>
          <w:szCs w:val="24"/>
          <w:lang w:eastAsia="it-IT"/>
        </w:rPr>
        <w:t>di</w:t>
      </w:r>
      <w:proofErr w:type="gramEnd"/>
      <w:r w:rsidRPr="00953158">
        <w:rPr>
          <w:rFonts w:ascii="Times New Roman" w:eastAsia="Times New Roman" w:hAnsi="Times New Roman" w:cs="Times New Roman"/>
          <w:sz w:val="24"/>
          <w:szCs w:val="24"/>
          <w:lang w:eastAsia="it-IT"/>
        </w:rPr>
        <w:t xml:space="preserve"> genere, come espressione del diritto all’identità personale (art. 2 </w:t>
      </w:r>
      <w:proofErr w:type="spellStart"/>
      <w:r w:rsidRPr="00953158">
        <w:rPr>
          <w:rFonts w:ascii="Times New Roman" w:eastAsia="Times New Roman" w:hAnsi="Times New Roman" w:cs="Times New Roman"/>
          <w:sz w:val="24"/>
          <w:szCs w:val="24"/>
          <w:lang w:eastAsia="it-IT"/>
        </w:rPr>
        <w:t>Cost</w:t>
      </w:r>
      <w:proofErr w:type="spellEnd"/>
      <w:r w:rsidRPr="00953158">
        <w:rPr>
          <w:rFonts w:ascii="Times New Roman" w:eastAsia="Times New Roman" w:hAnsi="Times New Roman" w:cs="Times New Roman"/>
          <w:sz w:val="24"/>
          <w:szCs w:val="24"/>
          <w:lang w:eastAsia="it-IT"/>
        </w:rPr>
        <w:t xml:space="preserve">. e art. </w:t>
      </w:r>
      <w:proofErr w:type="gramStart"/>
      <w:r w:rsidRPr="00953158">
        <w:rPr>
          <w:rFonts w:ascii="Times New Roman" w:eastAsia="Times New Roman" w:hAnsi="Times New Roman" w:cs="Times New Roman"/>
          <w:sz w:val="24"/>
          <w:szCs w:val="24"/>
          <w:lang w:eastAsia="it-IT"/>
        </w:rPr>
        <w:t>8 della CEDU) e, al tempo stesso, di strumento per la piena realizzazione del diritto, dotato anch’esso di copertura costituzionale, alla sa</w:t>
      </w:r>
      <w:proofErr w:type="gramEnd"/>
      <w:r w:rsidRPr="00953158">
        <w:rPr>
          <w:rFonts w:ascii="Times New Roman" w:eastAsia="Times New Roman" w:hAnsi="Times New Roman" w:cs="Times New Roman"/>
          <w:sz w:val="24"/>
          <w:szCs w:val="24"/>
          <w:lang w:eastAsia="it-IT"/>
        </w:rPr>
        <w:t>lute.</w:t>
      </w:r>
    </w:p>
    <w:p w:rsidR="00953158" w:rsidRPr="00953158" w:rsidRDefault="00953158" w:rsidP="00953158">
      <w:pPr>
        <w:widowControl w:val="0"/>
        <w:adjustRightInd w:val="0"/>
        <w:spacing w:line="360" w:lineRule="auto"/>
        <w:ind w:firstLine="0"/>
        <w:jc w:val="center"/>
        <w:rPr>
          <w:rFonts w:ascii="Times New Roman" w:eastAsia="Times New Roman" w:hAnsi="Times New Roman" w:cs="Times New Roman"/>
          <w:smallCaps/>
          <w:sz w:val="24"/>
          <w:szCs w:val="24"/>
          <w:lang w:eastAsia="it-IT"/>
        </w:rPr>
      </w:pPr>
      <w:proofErr w:type="gramStart"/>
      <w:r w:rsidRPr="00953158">
        <w:rPr>
          <w:rFonts w:ascii="Times New Roman" w:eastAsia="Times New Roman" w:hAnsi="Times New Roman" w:cs="Times New Roman"/>
          <w:smallCaps/>
          <w:sz w:val="24"/>
          <w:szCs w:val="24"/>
          <w:lang w:eastAsia="it-IT"/>
        </w:rPr>
        <w:t>per</w:t>
      </w:r>
      <w:proofErr w:type="gramEnd"/>
      <w:r w:rsidRPr="00953158">
        <w:rPr>
          <w:rFonts w:ascii="Times New Roman" w:eastAsia="Times New Roman" w:hAnsi="Times New Roman" w:cs="Times New Roman"/>
          <w:smallCaps/>
          <w:sz w:val="24"/>
          <w:szCs w:val="24"/>
          <w:lang w:eastAsia="it-IT"/>
        </w:rPr>
        <w:t xml:space="preserve"> questi motivi</w:t>
      </w:r>
    </w:p>
    <w:p w:rsidR="00953158" w:rsidRPr="00953158" w:rsidRDefault="00953158" w:rsidP="00953158">
      <w:pPr>
        <w:tabs>
          <w:tab w:val="right" w:pos="9638"/>
        </w:tabs>
        <w:spacing w:line="360" w:lineRule="auto"/>
        <w:ind w:firstLine="0"/>
        <w:jc w:val="center"/>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LA CORTE COSTITUZIONALE</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r>
      <w:proofErr w:type="gramStart"/>
      <w:r w:rsidRPr="00953158">
        <w:rPr>
          <w:rFonts w:ascii="Times New Roman" w:eastAsia="Times New Roman" w:hAnsi="Times New Roman" w:cs="Times New Roman"/>
          <w:i/>
          <w:sz w:val="24"/>
          <w:szCs w:val="24"/>
          <w:lang w:eastAsia="it-IT"/>
        </w:rPr>
        <w:t>dichiara</w:t>
      </w:r>
      <w:proofErr w:type="gramEnd"/>
      <w:r w:rsidRPr="00953158">
        <w:rPr>
          <w:rFonts w:ascii="Times New Roman" w:eastAsia="Times New Roman" w:hAnsi="Times New Roman" w:cs="Times New Roman"/>
          <w:sz w:val="24"/>
          <w:szCs w:val="24"/>
          <w:lang w:eastAsia="it-IT"/>
        </w:rPr>
        <w:t xml:space="preserve"> non fondata,  nei sensi di cui in motivazione, la questione di legittimità costituzionale dell’art. 1, comma </w:t>
      </w:r>
      <w:proofErr w:type="gramStart"/>
      <w:r w:rsidRPr="00953158">
        <w:rPr>
          <w:rFonts w:ascii="Times New Roman" w:eastAsia="Times New Roman" w:hAnsi="Times New Roman" w:cs="Times New Roman"/>
          <w:sz w:val="24"/>
          <w:szCs w:val="24"/>
          <w:lang w:eastAsia="it-IT"/>
        </w:rPr>
        <w:t>1</w:t>
      </w:r>
      <w:proofErr w:type="gramEnd"/>
      <w:r w:rsidRPr="00953158">
        <w:rPr>
          <w:rFonts w:ascii="Times New Roman" w:eastAsia="Times New Roman" w:hAnsi="Times New Roman" w:cs="Times New Roman"/>
          <w:sz w:val="24"/>
          <w:szCs w:val="24"/>
          <w:lang w:eastAsia="it-IT"/>
        </w:rPr>
        <w:t xml:space="preserve">, della legge 14 aprile 1982, n. 164 (Norme in materia di rettificazione di attribuzione di sesso), sollevata, in riferimento agli artt. 2, 3, 32, 117, primo </w:t>
      </w:r>
      <w:r w:rsidRPr="00953158">
        <w:rPr>
          <w:rFonts w:ascii="Times New Roman" w:eastAsia="Times New Roman" w:hAnsi="Times New Roman" w:cs="Times New Roman"/>
          <w:sz w:val="24"/>
          <w:szCs w:val="24"/>
          <w:lang w:eastAsia="it-IT"/>
        </w:rPr>
        <w:lastRenderedPageBreak/>
        <w:t xml:space="preserve">comma, della Costituzione, quest’ultimo in relazione all’art. 8 della Convenzione europea per la </w:t>
      </w:r>
      <w:proofErr w:type="gramStart"/>
      <w:r w:rsidRPr="00953158">
        <w:rPr>
          <w:rFonts w:ascii="Times New Roman" w:eastAsia="Times New Roman" w:hAnsi="Times New Roman" w:cs="Times New Roman"/>
          <w:sz w:val="24"/>
          <w:szCs w:val="24"/>
          <w:lang w:eastAsia="it-IT"/>
        </w:rPr>
        <w:t>salvaguardia</w:t>
      </w:r>
      <w:proofErr w:type="gramEnd"/>
      <w:r w:rsidRPr="00953158">
        <w:rPr>
          <w:rFonts w:ascii="Times New Roman" w:eastAsia="Times New Roman" w:hAnsi="Times New Roman" w:cs="Times New Roman"/>
          <w:sz w:val="24"/>
          <w:szCs w:val="24"/>
          <w:lang w:eastAsia="it-IT"/>
        </w:rPr>
        <w:t xml:space="preserve"> dei diritti dell’uomo e delle libertà fondamentali, firmata a Roma il 4 novembre 1950, ratificata e resa esecutiva con la legge 4 agosto 1955, n. 848, dal Tribunale ordinario di Trento, con l’ordinanza indicata in epigrafe.</w:t>
      </w:r>
    </w:p>
    <w:p w:rsidR="00953158" w:rsidRPr="00953158" w:rsidRDefault="00953158" w:rsidP="00953158">
      <w:pPr>
        <w:tabs>
          <w:tab w:val="left" w:pos="567"/>
        </w:tabs>
        <w:spacing w:line="360" w:lineRule="auto"/>
        <w:ind w:firstLine="0"/>
        <w:rPr>
          <w:rFonts w:ascii="Times New Roman" w:eastAsia="Times New Roman" w:hAnsi="Times New Roman" w:cs="Times New Roman"/>
          <w:sz w:val="24"/>
          <w:szCs w:val="24"/>
          <w:lang w:eastAsia="it-IT"/>
        </w:rPr>
      </w:pPr>
      <w:r w:rsidRPr="00953158">
        <w:rPr>
          <w:rFonts w:ascii="Times New Roman" w:eastAsia="Times New Roman" w:hAnsi="Times New Roman" w:cs="Times New Roman"/>
          <w:sz w:val="24"/>
          <w:szCs w:val="24"/>
          <w:lang w:eastAsia="it-IT"/>
        </w:rPr>
        <w:tab/>
      </w:r>
      <w:proofErr w:type="gramStart"/>
      <w:r w:rsidRPr="00953158">
        <w:rPr>
          <w:rFonts w:ascii="Times New Roman" w:eastAsia="Times New Roman" w:hAnsi="Times New Roman" w:cs="Times New Roman"/>
          <w:sz w:val="24"/>
          <w:szCs w:val="24"/>
          <w:lang w:eastAsia="it-IT"/>
        </w:rPr>
        <w:t>Così deciso in Roma, nella sede della Corte costituzionale, Palazzo della Consulta, il 21 ottobre 2015.</w:t>
      </w:r>
      <w:proofErr w:type="gramEnd"/>
    </w:p>
    <w:p w:rsidR="00953158" w:rsidRPr="00953158" w:rsidRDefault="00953158" w:rsidP="00953158">
      <w:pPr>
        <w:widowControl w:val="0"/>
        <w:adjustRightInd w:val="0"/>
        <w:spacing w:line="360" w:lineRule="auto"/>
        <w:ind w:firstLine="0"/>
        <w:jc w:val="left"/>
        <w:rPr>
          <w:rFonts w:ascii="Times New Roman" w:eastAsia="Times New Roman" w:hAnsi="Times New Roman" w:cs="Times New Roman"/>
          <w:b/>
          <w:bCs/>
          <w:i/>
          <w:iCs/>
          <w:color w:val="000000"/>
          <w:sz w:val="28"/>
          <w:szCs w:val="28"/>
          <w:lang w:eastAsia="it-IT"/>
        </w:rPr>
      </w:pPr>
      <w:r w:rsidRPr="00953158">
        <w:rPr>
          <w:rFonts w:ascii="Times New Roman" w:eastAsia="Times New Roman" w:hAnsi="Times New Roman" w:cs="Times New Roman"/>
          <w:color w:val="000000"/>
          <w:sz w:val="24"/>
          <w:szCs w:val="24"/>
          <w:lang w:eastAsia="it-IT"/>
        </w:rPr>
        <w:t>F.to:</w:t>
      </w:r>
    </w:p>
    <w:p w:rsidR="00953158" w:rsidRPr="00953158" w:rsidRDefault="00953158" w:rsidP="00953158">
      <w:pPr>
        <w:widowControl w:val="0"/>
        <w:adjustRightInd w:val="0"/>
        <w:spacing w:line="360" w:lineRule="auto"/>
        <w:ind w:firstLine="0"/>
        <w:jc w:val="left"/>
        <w:rPr>
          <w:rFonts w:ascii="Times New Roman" w:eastAsia="Times New Roman" w:hAnsi="Times New Roman" w:cs="Times New Roman"/>
          <w:b/>
          <w:bCs/>
          <w:i/>
          <w:iCs/>
          <w:color w:val="000000"/>
          <w:sz w:val="28"/>
          <w:szCs w:val="28"/>
          <w:lang w:eastAsia="it-IT"/>
        </w:rPr>
      </w:pPr>
      <w:r w:rsidRPr="00953158">
        <w:rPr>
          <w:rFonts w:ascii="Times New Roman" w:eastAsia="Times New Roman" w:hAnsi="Times New Roman" w:cs="Times New Roman"/>
          <w:color w:val="000000"/>
          <w:sz w:val="24"/>
          <w:szCs w:val="24"/>
          <w:lang w:eastAsia="it-IT"/>
        </w:rPr>
        <w:t>Alessandro CRISCUOLO, Presidente</w:t>
      </w:r>
    </w:p>
    <w:p w:rsidR="00953158" w:rsidRPr="00953158" w:rsidRDefault="00953158" w:rsidP="00953158">
      <w:pPr>
        <w:widowControl w:val="0"/>
        <w:adjustRightInd w:val="0"/>
        <w:spacing w:line="360" w:lineRule="auto"/>
        <w:ind w:firstLine="0"/>
        <w:jc w:val="left"/>
        <w:rPr>
          <w:rFonts w:ascii="Times New Roman" w:eastAsia="Times New Roman" w:hAnsi="Times New Roman" w:cs="Times New Roman"/>
          <w:b/>
          <w:bCs/>
          <w:i/>
          <w:iCs/>
          <w:color w:val="000000"/>
          <w:sz w:val="28"/>
          <w:szCs w:val="28"/>
          <w:lang w:eastAsia="it-IT"/>
        </w:rPr>
      </w:pPr>
      <w:r w:rsidRPr="00953158">
        <w:rPr>
          <w:rFonts w:ascii="Times New Roman" w:eastAsia="Times New Roman" w:hAnsi="Times New Roman" w:cs="Times New Roman"/>
          <w:color w:val="000000"/>
          <w:sz w:val="24"/>
          <w:szCs w:val="24"/>
          <w:lang w:eastAsia="it-IT"/>
        </w:rPr>
        <w:t>Giuliano AMATO, Redattore</w:t>
      </w:r>
    </w:p>
    <w:p w:rsidR="00953158" w:rsidRPr="00953158" w:rsidRDefault="00953158" w:rsidP="00953158">
      <w:pPr>
        <w:widowControl w:val="0"/>
        <w:adjustRightInd w:val="0"/>
        <w:spacing w:line="360" w:lineRule="auto"/>
        <w:ind w:firstLine="0"/>
        <w:jc w:val="left"/>
        <w:rPr>
          <w:rFonts w:ascii="Times New Roman" w:eastAsia="Times New Roman" w:hAnsi="Times New Roman" w:cs="Times New Roman"/>
          <w:b/>
          <w:bCs/>
          <w:i/>
          <w:iCs/>
          <w:color w:val="000000"/>
          <w:sz w:val="28"/>
          <w:szCs w:val="28"/>
          <w:lang w:eastAsia="it-IT"/>
        </w:rPr>
      </w:pPr>
      <w:r w:rsidRPr="00953158">
        <w:rPr>
          <w:rFonts w:ascii="Times New Roman" w:eastAsia="Times New Roman" w:hAnsi="Times New Roman" w:cs="Times New Roman"/>
          <w:color w:val="000000"/>
          <w:sz w:val="24"/>
          <w:szCs w:val="24"/>
          <w:lang w:eastAsia="it-IT"/>
        </w:rPr>
        <w:t>Gabriella Paola MELATTI, Cancelliere</w:t>
      </w:r>
    </w:p>
    <w:p w:rsidR="00953158" w:rsidRPr="00953158" w:rsidRDefault="00953158" w:rsidP="00953158">
      <w:pPr>
        <w:widowControl w:val="0"/>
        <w:adjustRightInd w:val="0"/>
        <w:spacing w:line="360" w:lineRule="auto"/>
        <w:ind w:firstLine="0"/>
        <w:jc w:val="left"/>
        <w:rPr>
          <w:rFonts w:ascii="Times New Roman" w:eastAsia="Times New Roman" w:hAnsi="Times New Roman" w:cs="Times New Roman"/>
          <w:spacing w:val="10"/>
          <w:sz w:val="24"/>
          <w:szCs w:val="24"/>
          <w:lang w:eastAsia="it-IT"/>
        </w:rPr>
      </w:pPr>
      <w:r w:rsidRPr="00953158">
        <w:rPr>
          <w:rFonts w:ascii="Times New Roman" w:eastAsia="Times New Roman" w:hAnsi="Times New Roman" w:cs="Times New Roman"/>
          <w:color w:val="000000"/>
          <w:sz w:val="24"/>
          <w:szCs w:val="24"/>
          <w:lang w:eastAsia="it-IT"/>
        </w:rPr>
        <w:t>Depositata in Cancelleria il 5 novembre 2015.</w:t>
      </w:r>
    </w:p>
    <w:p w:rsidR="00480F96" w:rsidRDefault="00480F96"/>
    <w:sectPr w:rsidR="00480F9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158"/>
    <w:rsid w:val="00480F96"/>
    <w:rsid w:val="009531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semiHidden/>
    <w:unhideWhenUsed/>
    <w:rsid w:val="0095315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semiHidden/>
    <w:unhideWhenUsed/>
    <w:rsid w:val="009531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69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iurcost.org/decisioni/1985/0161s-85.html" TargetMode="External"/><Relationship Id="rId5" Type="http://schemas.openxmlformats.org/officeDocument/2006/relationships/hyperlink" Target="http://www.giurcost.org/decisioni/1985/0161s-85.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1896</Words>
  <Characters>10810</Characters>
  <Application>Microsoft Office Word</Application>
  <DocSecurity>0</DocSecurity>
  <Lines>90</Lines>
  <Paragraphs>25</Paragraphs>
  <ScaleCrop>false</ScaleCrop>
  <Company>user</Company>
  <LinksUpToDate>false</LinksUpToDate>
  <CharactersWithSpaces>12681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Veronesi</dc:creator>
  <cp:lastModifiedBy>Veronesi</cp:lastModifiedBy>
  <cp:revision>1</cp:revision>
  <dcterms:created xsi:type="dcterms:W3CDTF">2016-01-15T08:47:00Z</dcterms:created>
  <dcterms:modified xsi:type="dcterms:W3CDTF">2016-01-15T08:49:00Z</dcterms:modified>
</cp:coreProperties>
</file>